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494" w14:textId="18FB147F" w:rsidR="00337CA0" w:rsidRPr="00337CA0" w:rsidRDefault="00337CA0" w:rsidP="00337CA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7CA0">
        <w:rPr>
          <w:rFonts w:ascii="Times New Roman" w:hAnsi="Times New Roman" w:cs="Times New Roman"/>
          <w:bCs/>
          <w:sz w:val="24"/>
          <w:szCs w:val="24"/>
        </w:rPr>
        <w:t xml:space="preserve">VKG 206-01-30 </w:t>
      </w:r>
      <w:proofErr w:type="spellStart"/>
      <w:r w:rsidRPr="00337CA0">
        <w:rPr>
          <w:rFonts w:ascii="Times New Roman" w:hAnsi="Times New Roman" w:cs="Times New Roman"/>
          <w:bCs/>
          <w:sz w:val="24"/>
          <w:szCs w:val="24"/>
        </w:rPr>
        <w:t>pos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37CA0">
        <w:rPr>
          <w:rFonts w:ascii="Times New Roman" w:hAnsi="Times New Roman" w:cs="Times New Roman"/>
          <w:bCs/>
          <w:sz w:val="24"/>
          <w:szCs w:val="24"/>
        </w:rPr>
        <w:t>džio</w:t>
      </w:r>
      <w:proofErr w:type="spellEnd"/>
      <w:r w:rsidRPr="00337CA0">
        <w:rPr>
          <w:rFonts w:ascii="Times New Roman" w:hAnsi="Times New Roman" w:cs="Times New Roman"/>
          <w:bCs/>
          <w:sz w:val="24"/>
          <w:szCs w:val="24"/>
        </w:rPr>
        <w:t xml:space="preserve"> Nr. 3</w:t>
      </w:r>
    </w:p>
    <w:p w14:paraId="33B4FDC8" w14:textId="3DF3A0EF" w:rsidR="00337CA0" w:rsidRPr="00337CA0" w:rsidRDefault="00337CA0" w:rsidP="00337CA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337CA0">
        <w:rPr>
          <w:rFonts w:ascii="Times New Roman" w:hAnsi="Times New Roman" w:cs="Times New Roman"/>
          <w:bCs/>
          <w:i/>
          <w:iCs/>
          <w:sz w:val="24"/>
          <w:szCs w:val="24"/>
        </w:rPr>
        <w:t>Priedas</w:t>
      </w:r>
      <w:proofErr w:type="spellEnd"/>
      <w:r w:rsidRPr="00337C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Nr. 1</w:t>
      </w:r>
    </w:p>
    <w:p w14:paraId="59F522FE" w14:textId="42A89C9F" w:rsidR="00140E6D" w:rsidRPr="00C95627" w:rsidRDefault="00000000" w:rsidP="00C9562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Zarasų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proofErr w:type="gramStart"/>
      <w:r w:rsidRPr="00C95627">
        <w:rPr>
          <w:rFonts w:ascii="Times New Roman" w:hAnsi="Times New Roman" w:cs="Times New Roman"/>
          <w:b/>
          <w:sz w:val="24"/>
          <w:szCs w:val="24"/>
        </w:rPr>
        <w:t>Santarvės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pradinės</w:t>
      </w:r>
      <w:proofErr w:type="spellEnd"/>
      <w:proofErr w:type="gram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mokyklos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br/>
        <w:t xml:space="preserve">Vaiko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gerovės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komisijos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(VGK)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veiklos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ataskaita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už</w:t>
      </w:r>
      <w:proofErr w:type="spellEnd"/>
      <w:r w:rsidRPr="00C95627">
        <w:rPr>
          <w:rFonts w:ascii="Times New Roman" w:hAnsi="Times New Roman" w:cs="Times New Roman"/>
          <w:b/>
          <w:sz w:val="24"/>
          <w:szCs w:val="24"/>
        </w:rPr>
        <w:t xml:space="preserve"> 2025 </w:t>
      </w:r>
      <w:proofErr w:type="spellStart"/>
      <w:r w:rsidRPr="00C95627">
        <w:rPr>
          <w:rFonts w:ascii="Times New Roman" w:hAnsi="Times New Roman" w:cs="Times New Roman"/>
          <w:b/>
          <w:sz w:val="24"/>
          <w:szCs w:val="24"/>
        </w:rPr>
        <w:t>metus</w:t>
      </w:r>
      <w:proofErr w:type="spellEnd"/>
    </w:p>
    <w:p w14:paraId="2C4C4371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1. Įžanga</w:t>
      </w:r>
    </w:p>
    <w:p w14:paraId="04C3FF60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mokykloje Vaiko gerovės komisijos (VGK) veikla buvo orientuota į mokinių saugios ugdymosi aplinkos užtikrinimą, ugdymosi ir elgesio sunkumų sprendimą, pagalbos mokiniui koordinavimą (įskaitant specialiųjų ugdymosi poreikių (SUP) mokinius), prevencinių priemonių įgyvendinimą ir bendradarbiavimą su tėvais bei institucijomis.</w:t>
      </w:r>
    </w:p>
    <w:p w14:paraId="6E28B7A0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Didžiausias specialistų darbo krūvis buvo sutelktas į individualią pagalbą mokiniams (emocinių, elgesio, ugdymosi sunkumų atvejais), patyčių ir smurto prevenciją, nelankymo bei nepriežiūros situacijų valdymą ir tarpinstitucinį bendradarbiavimą.</w:t>
      </w:r>
    </w:p>
    <w:p w14:paraId="2B196658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2. VGK darbo organizavimas</w:t>
      </w:r>
    </w:p>
    <w:p w14:paraId="08780322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VGK posėdžių ir pasitarimų skaičius 2025 m.: 20.</w:t>
      </w:r>
    </w:p>
    <w:p w14:paraId="7F1CD590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Svarstytų klausimų tematika: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140E6D" w:rsidRPr="00C95627" w14:paraId="7FEEB5B8" w14:textId="77777777">
        <w:tc>
          <w:tcPr>
            <w:tcW w:w="4680" w:type="dxa"/>
          </w:tcPr>
          <w:p w14:paraId="1039E795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Klausimų tema</w:t>
            </w:r>
          </w:p>
        </w:tc>
        <w:tc>
          <w:tcPr>
            <w:tcW w:w="4680" w:type="dxa"/>
          </w:tcPr>
          <w:p w14:paraId="1875F2C2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Kartų sk.</w:t>
            </w:r>
          </w:p>
        </w:tc>
      </w:tr>
      <w:tr w:rsidR="00140E6D" w:rsidRPr="00C95627" w14:paraId="43604AD9" w14:textId="77777777">
        <w:tc>
          <w:tcPr>
            <w:tcW w:w="4680" w:type="dxa"/>
          </w:tcPr>
          <w:p w14:paraId="03BE4B5C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ugdymosi proceso įgyvendinimo ypatumų 2025 m. m.</w:t>
            </w:r>
          </w:p>
        </w:tc>
        <w:tc>
          <w:tcPr>
            <w:tcW w:w="4680" w:type="dxa"/>
          </w:tcPr>
          <w:p w14:paraId="365DB11C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E6D" w:rsidRPr="00C95627" w14:paraId="7EBB1A55" w14:textId="77777777">
        <w:tc>
          <w:tcPr>
            <w:tcW w:w="4680" w:type="dxa"/>
          </w:tcPr>
          <w:p w14:paraId="60245234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ugdymosi problemų sprendimo (elgesio, mokymosi sunkumų, namų darbų neatlikimo)</w:t>
            </w:r>
          </w:p>
        </w:tc>
        <w:tc>
          <w:tcPr>
            <w:tcW w:w="4680" w:type="dxa"/>
          </w:tcPr>
          <w:p w14:paraId="6C7279E4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40E6D" w:rsidRPr="00C95627" w14:paraId="3B14962F" w14:textId="77777777">
        <w:tc>
          <w:tcPr>
            <w:tcW w:w="4680" w:type="dxa"/>
          </w:tcPr>
          <w:p w14:paraId="6AEE2E7B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patyčių ir smurto atvejų nagrinėjimo ir problemų sprendimo</w:t>
            </w:r>
          </w:p>
        </w:tc>
        <w:tc>
          <w:tcPr>
            <w:tcW w:w="4680" w:type="dxa"/>
          </w:tcPr>
          <w:p w14:paraId="4E7A0B69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627207C4" w14:textId="77777777">
        <w:tc>
          <w:tcPr>
            <w:tcW w:w="4680" w:type="dxa"/>
          </w:tcPr>
          <w:p w14:paraId="1FD25727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netinkamos priežiūros namuose</w:t>
            </w:r>
          </w:p>
        </w:tc>
        <w:tc>
          <w:tcPr>
            <w:tcW w:w="4680" w:type="dxa"/>
          </w:tcPr>
          <w:p w14:paraId="636630FB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121A5754" w14:textId="77777777">
        <w:tc>
          <w:tcPr>
            <w:tcW w:w="4680" w:type="dxa"/>
          </w:tcPr>
          <w:p w14:paraId="4BA0CA56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klasės keitimo</w:t>
            </w:r>
          </w:p>
        </w:tc>
        <w:tc>
          <w:tcPr>
            <w:tcW w:w="4680" w:type="dxa"/>
          </w:tcPr>
          <w:p w14:paraId="727F20CD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2B77E539" w14:textId="77777777">
        <w:tc>
          <w:tcPr>
            <w:tcW w:w="4680" w:type="dxa"/>
          </w:tcPr>
          <w:p w14:paraId="1794F8ED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gauto dokumento iš VTAS dėl vaiko pažeistų teisių</w:t>
            </w:r>
          </w:p>
        </w:tc>
        <w:tc>
          <w:tcPr>
            <w:tcW w:w="4680" w:type="dxa"/>
          </w:tcPr>
          <w:p w14:paraId="491E538B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67440144" w14:textId="77777777">
        <w:tc>
          <w:tcPr>
            <w:tcW w:w="4680" w:type="dxa"/>
          </w:tcPr>
          <w:p w14:paraId="31A17A80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gauto tėvų skundo dėl mokytojos galimų smurtinių veiksmų mokinio atžvilgiu</w:t>
            </w:r>
          </w:p>
        </w:tc>
        <w:tc>
          <w:tcPr>
            <w:tcW w:w="4680" w:type="dxa"/>
          </w:tcPr>
          <w:p w14:paraId="1AE53C38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12B9DE64" w14:textId="77777777">
        <w:tc>
          <w:tcPr>
            <w:tcW w:w="4680" w:type="dxa"/>
          </w:tcPr>
          <w:p w14:paraId="36F16E23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mokyklos psichologės gauto tarnybinio pranešimo</w:t>
            </w:r>
          </w:p>
        </w:tc>
        <w:tc>
          <w:tcPr>
            <w:tcW w:w="4680" w:type="dxa"/>
          </w:tcPr>
          <w:p w14:paraId="671B05C9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6D" w:rsidRPr="00C95627" w14:paraId="1183E488" w14:textId="77777777">
        <w:tc>
          <w:tcPr>
            <w:tcW w:w="4680" w:type="dxa"/>
          </w:tcPr>
          <w:p w14:paraId="7F956B28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Dėl kreipimosi į VTAS dėl mokinės ugdymosi neužtikrinimo</w:t>
            </w:r>
          </w:p>
        </w:tc>
        <w:tc>
          <w:tcPr>
            <w:tcW w:w="4680" w:type="dxa"/>
          </w:tcPr>
          <w:p w14:paraId="223CCCA7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BE30249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Pranešimai ir sprendimai:</w:t>
      </w:r>
    </w:p>
    <w:p w14:paraId="1EDB6BEF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Dėl mokinių elgesio ir ugdymo problemų, ribotų tėvystės gebėjimų į Zarasų VTAS parengta pranešimų – 13.</w:t>
      </w:r>
    </w:p>
    <w:p w14:paraId="62C8794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lastRenderedPageBreak/>
        <w:t>Dėl mokinių agresyvaus ir netinkamo elgesio pranešimų į Zarasų rajono policijos komisariatą 2025 m. nerengta.</w:t>
      </w:r>
    </w:p>
    <w:p w14:paraId="3FE08CC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Zarasų r. savivaldybės administracijos Vaiko gerovės komisijos nutarimu 1 mokiniui skirtos minimalios priežiūros priemonės.</w:t>
      </w:r>
    </w:p>
    <w:p w14:paraId="24848F4C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3. Pagalbos mokiniui teikimas ir specialistų veikla</w:t>
      </w:r>
    </w:p>
    <w:p w14:paraId="0C7A1F85" w14:textId="77777777" w:rsidR="00140E6D" w:rsidRPr="00C95627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3.1. Psichologo veiklos suvestinė</w:t>
      </w:r>
    </w:p>
    <w:p w14:paraId="4417DAAD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psichologo veikloje prioritetas teiktas individualiai psichologinei pagalbai mokiniams, ypač SUP mokiniams, prevencinei veiklai, darbui VGK ir tarpinstituciniam bendradarbiavimui.</w:t>
      </w:r>
    </w:p>
    <w:p w14:paraId="622D02E0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Individualios konsultacijos:</w:t>
      </w:r>
    </w:p>
    <w:p w14:paraId="73D43805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Iš viso suteiktos 521 individualios psichologinės konsultacijos.</w:t>
      </w:r>
    </w:p>
    <w:p w14:paraId="2F76003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478 konsultacijos skirtos mokiniams.</w:t>
      </w:r>
    </w:p>
    <w:p w14:paraId="5CF232B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43 konsultacijos skirtos mokinių tėvams (globėjams, rūpintojams), mokytojams ir kitiems specialistams.</w:t>
      </w:r>
    </w:p>
    <w:p w14:paraId="528F7070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SUP mokiniai:</w:t>
      </w:r>
    </w:p>
    <w:p w14:paraId="63D9651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SUP mokiniams suteiktos 297 individualios konsultacijos.</w:t>
      </w:r>
    </w:p>
    <w:p w14:paraId="2608B6A5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Psichologinę pagalbą gavo 29 SUP mokiniai (pagalba teikta tęstiniu būdu, atsižvelgiant į individualius poreikius).</w:t>
      </w:r>
    </w:p>
    <w:p w14:paraId="375398C1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Dažniausiai spręsti sunkumai konsultacijų metu:</w:t>
      </w:r>
    </w:p>
    <w:p w14:paraId="1D180286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padidėjęs nerimas, baimės, žema savivertė, emocinis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jautrumas;</w:t>
      </w:r>
      <w:proofErr w:type="gramEnd"/>
    </w:p>
    <w:p w14:paraId="3D25A36D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elgesio problemos, savireguliacijos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stoka;</w:t>
      </w:r>
      <w:proofErr w:type="gramEnd"/>
    </w:p>
    <w:p w14:paraId="67FB50C8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mokymosi motyvacijos trūkumas, adaptacijos mokykloje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sunkumai;</w:t>
      </w:r>
      <w:proofErr w:type="gramEnd"/>
    </w:p>
    <w:p w14:paraId="2F56EDB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tarpasmeniniai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konfliktai;</w:t>
      </w:r>
      <w:proofErr w:type="gramEnd"/>
    </w:p>
    <w:p w14:paraId="34EB206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patyčių ir smurto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situacijos;</w:t>
      </w:r>
      <w:proofErr w:type="gramEnd"/>
    </w:p>
    <w:p w14:paraId="3B47313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šeimos krizės ir smurto artimoje aplinkoje patirtys.</w:t>
      </w:r>
    </w:p>
    <w:p w14:paraId="3536DE7F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Grupiniai užsiėmimai:</w:t>
      </w:r>
    </w:p>
    <w:p w14:paraId="150282B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Pravesti 35 grupiniai užsiėmimai priešmokyklinio ugdymo grupių ir 1–4 klasių mokiniams.</w:t>
      </w:r>
    </w:p>
    <w:p w14:paraId="1C5E1C8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Užsiėmimų metu stiprintos socialinės ir emocinės kompetencijos, skatintas pagarbus ir saugus bendravimas.</w:t>
      </w:r>
    </w:p>
    <w:p w14:paraId="6179EDD1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Programos ir prevencinė veikla:</w:t>
      </w:r>
    </w:p>
    <w:p w14:paraId="1DA5454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Įgyvendinta smurto prieš vaikus prevencinė programa „Esame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saugūs“ (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 xml:space="preserve">tikslinė grupė – 3 klasės). Gavus tėvų / globėjų sutikimus, sudalyvavo 40 vaikų; pravesta 20 užsiėmimų (vaikų </w:t>
      </w:r>
      <w:r w:rsidRPr="00C95627">
        <w:rPr>
          <w:rFonts w:ascii="Times New Roman" w:hAnsi="Times New Roman" w:cs="Times New Roman"/>
          <w:sz w:val="24"/>
          <w:szCs w:val="24"/>
        </w:rPr>
        <w:lastRenderedPageBreak/>
        <w:t>teisės, jausmai ir emocijos, smurtas ir jo rūšys, saugus elgesys internetinėje erdvėje, pagalbos galimybės).</w:t>
      </w:r>
    </w:p>
    <w:p w14:paraId="686003F8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Patyčių prevencijai pravesti 11 tikslinių grupinių užsiėmimų temomis „Mūsų rankos ir žodžiai skirti ne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patyčioms“ ir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 xml:space="preserve"> „Kurią pusę pasirinksi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tu?“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>.</w:t>
      </w:r>
    </w:p>
    <w:p w14:paraId="4685240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Klasės mikroklimato gerinimui ir įvertinimui pravesti 4 grupiniai užsiėmimai.</w:t>
      </w:r>
    </w:p>
    <w:p w14:paraId="7CC2E4D8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Vykdytos papildomos prevencinės veiklos: socialinė kampanija „Vienas iš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penkių“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 xml:space="preserve">, saugumo savaitė „Saugus, kai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žinau“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>, Šypsenos, Tarptautinės Tolerancijos, Draugo ir žodžio „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Ačiū“ dienų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 xml:space="preserve">, Sąmoningumo didinimo mėnesio „Be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patyčių“ minėjimai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>.</w:t>
      </w:r>
    </w:p>
    <w:p w14:paraId="5BD2324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Iš viso įgyvendintos 8 prevencinės veiklos.</w:t>
      </w:r>
    </w:p>
    <w:p w14:paraId="29E062F4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VGK posėdžių ir pasitarimų metu aptarti mokinių elgesio, smurto, emocinės savijautos, mokyklos nelankymo, patyčių, SUP ugdymo organizavimo ir krizinių situacijų klausimai.</w:t>
      </w:r>
    </w:p>
    <w:p w14:paraId="20410036" w14:textId="77777777" w:rsidR="00140E6D" w:rsidRPr="00C95627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3.2. Socialinio pedagogo veiklos suvestinė</w:t>
      </w:r>
    </w:p>
    <w:p w14:paraId="78B1DBB9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Socialinio pedagogo darbas 2025 m. buvo orientuotas į mokinių elgesio ir ugdymosi problemų sprendimą, socialinės rizikos atvejų valdymą, tėvų įtraukimą, dokumentacijos administravimą ir tarpinstitucinį bendradarbiavimą.</w:t>
      </w:r>
    </w:p>
    <w:p w14:paraId="5A474CAE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Pagalbos gavėjų skaičius (1 lentelė):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0E6D" w:rsidRPr="00C95627" w14:paraId="20AC895C" w14:textId="77777777">
        <w:tc>
          <w:tcPr>
            <w:tcW w:w="4680" w:type="dxa"/>
          </w:tcPr>
          <w:p w14:paraId="7C558E71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Klientų grupė</w:t>
            </w:r>
          </w:p>
        </w:tc>
        <w:tc>
          <w:tcPr>
            <w:tcW w:w="4680" w:type="dxa"/>
          </w:tcPr>
          <w:p w14:paraId="79468014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140E6D" w:rsidRPr="00C95627" w14:paraId="0EA93D9A" w14:textId="77777777">
        <w:tc>
          <w:tcPr>
            <w:tcW w:w="4680" w:type="dxa"/>
          </w:tcPr>
          <w:p w14:paraId="161E5F46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4680" w:type="dxa"/>
          </w:tcPr>
          <w:p w14:paraId="2639B388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40E6D" w:rsidRPr="00C95627" w14:paraId="1CAE5243" w14:textId="77777777">
        <w:tc>
          <w:tcPr>
            <w:tcW w:w="4680" w:type="dxa"/>
          </w:tcPr>
          <w:p w14:paraId="0DAD0495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4680" w:type="dxa"/>
          </w:tcPr>
          <w:p w14:paraId="41956E1E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40E6D" w:rsidRPr="00C95627" w14:paraId="6FE226D2" w14:textId="77777777">
        <w:tc>
          <w:tcPr>
            <w:tcW w:w="4680" w:type="dxa"/>
          </w:tcPr>
          <w:p w14:paraId="66969440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Tėvai / globėjai</w:t>
            </w:r>
          </w:p>
        </w:tc>
        <w:tc>
          <w:tcPr>
            <w:tcW w:w="4680" w:type="dxa"/>
          </w:tcPr>
          <w:p w14:paraId="39C25921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40E6D" w:rsidRPr="00C95627" w14:paraId="35D84FB4" w14:textId="77777777">
        <w:tc>
          <w:tcPr>
            <w:tcW w:w="4680" w:type="dxa"/>
          </w:tcPr>
          <w:p w14:paraId="51F82C57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</w:p>
        </w:tc>
        <w:tc>
          <w:tcPr>
            <w:tcW w:w="4680" w:type="dxa"/>
          </w:tcPr>
          <w:p w14:paraId="38C9EEBB" w14:textId="77777777" w:rsidR="00140E6D" w:rsidRPr="00C9562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46768914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Papildomi rodikliai ir veiklos:</w:t>
      </w:r>
    </w:p>
    <w:p w14:paraId="4C75923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Užvestos 17 socialinės rizikos grupės mokinių asmens bylos.</w:t>
      </w:r>
    </w:p>
    <w:p w14:paraId="5576380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Pravesta 57 pokalbiai su mokiniais (ugdymosi problemų sprendimas, elgesio taisyklių laikymosi kontrolė).</w:t>
      </w:r>
    </w:p>
    <w:p w14:paraId="3350DA75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Pravesta 107 pokalbiai su pedagogais bei švietimo pagalbos specialistais.</w:t>
      </w:r>
    </w:p>
    <w:p w14:paraId="3FD999E3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Įvyko 38 pokalbiai su tėvais / globėjais.</w:t>
      </w:r>
    </w:p>
    <w:p w14:paraId="19F17C13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Dalyvauta 16 mokyklos VGK posėdžių.</w:t>
      </w:r>
    </w:p>
    <w:p w14:paraId="603199E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Vykdytos prevencinės ir šviečiamosios veiklos (saugumo, bendravimo įgūdžiai, „Be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patyčių“ mėnuo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 xml:space="preserve">, kuprinių svėrimo akcija „Ar sunki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kuprinė?“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>, diskusijos apie teises ir pareigas, saugaus eismo diena, saugus elgesys atostogų metu, sveikos gyvensenos skatinimas ir kt.).</w:t>
      </w:r>
    </w:p>
    <w:p w14:paraId="69E91052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Tarpinstitucinis bendradarbiavimas:</w:t>
      </w:r>
    </w:p>
    <w:p w14:paraId="2D2413D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Zarasų VTAS: dalyvauta 5 pokalbiuose, 5 kartus teikta informacija.</w:t>
      </w:r>
    </w:p>
    <w:p w14:paraId="5C1A418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Policija: dalyvauta 2 apklausose ir 2 pokalbiuose.</w:t>
      </w:r>
    </w:p>
    <w:p w14:paraId="76519044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Savivaldybės tarpinstitucinio bendradarbiavimo tarnyba: dalyvauta 1 posėdyje.</w:t>
      </w:r>
    </w:p>
    <w:p w14:paraId="32187CEF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Zarasų socialinių paslaugų centras: dalyvauta 1 posėdyje.</w:t>
      </w:r>
    </w:p>
    <w:p w14:paraId="707DBCF4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lastRenderedPageBreak/>
        <w:t>Dalyvauta atvejo vadybos posėdžiuose, teikta informacija pagal poreikį.</w:t>
      </w:r>
    </w:p>
    <w:p w14:paraId="22C6DE92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Mokyklos konteksto rodikliai (pagal pateiktą suvestinę):</w:t>
      </w:r>
    </w:p>
    <w:p w14:paraId="4255395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Mokykloje mokosi 325 mokiniai.</w:t>
      </w:r>
    </w:p>
    <w:p w14:paraId="5A84ADB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Nemokamas maitinimas skirtas 230 mokiniams.</w:t>
      </w:r>
    </w:p>
    <w:p w14:paraId="2F085444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Į mokyklą mokykliniais autobusiukais ir viešuoju transportu atvyksta 93 mokiniai.</w:t>
      </w:r>
    </w:p>
    <w:p w14:paraId="6D957CEE" w14:textId="77777777" w:rsidR="00140E6D" w:rsidRPr="00C95627" w:rsidRDefault="00000000">
      <w:pPr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Kvalifikacijos kėlimas:</w:t>
      </w:r>
    </w:p>
    <w:p w14:paraId="1AE6BA9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dalyvauta 4 renginiuose (mokymai / seminarai / konferencija), iš viso 57 akad. val.</w:t>
      </w:r>
    </w:p>
    <w:p w14:paraId="208FE2C8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4. SUP mokinių ugdymas ir vertinimai (suvestinė)</w:t>
      </w:r>
    </w:p>
    <w:p w14:paraId="4AFBDC8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2025-01-01 mokykloje mokėsi 37 SUP mokiniai: 20 – pagal individualizuotas pradinio ugdymo programas, 17 – pagal pritaikytas pradinio ugdymo programas.</w:t>
      </w:r>
    </w:p>
    <w:p w14:paraId="3B48515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Mokslo metų pabaigoje mokėsi 43 SUP mokiniai: 21 – pagal individualizuotas bendrąsias pradinio ugdymo programas, 22 – pagal pritaikytas bendrąsias priešmokyklinio ar pradinio ugdymo programas.</w:t>
      </w:r>
    </w:p>
    <w:p w14:paraId="6065E4E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Nuo 2025-09-01 suvestinėje nurodyta, kad mokykloje mokosi 31 SUP mokinys; programų pasiskirstyme pateikta 16 individualizuotų ir 16 pritaikytų programų (suma – 32).</w:t>
      </w:r>
    </w:p>
    <w:p w14:paraId="400A56E4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pabaigoje mokykloje mokėsi 32 SUP mokiniai: 16 – pagal individualizuotas ir 16 – pagal pritaikytas bendrąsias priešmokyklinio ugdymo bei pradinio ugdymo programas.</w:t>
      </w:r>
    </w:p>
    <w:p w14:paraId="67B449C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Zarasų švietimo pagalbos tarnyboje 2025 m. atlikti kompleksiniai vertinimai 28 mokiniams: 5 pirminiai ir 23 pakartotiniai.</w:t>
      </w:r>
    </w:p>
    <w:p w14:paraId="0A7F7F83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5. Logopedo pagalba (suvestinė)</w:t>
      </w:r>
    </w:p>
    <w:p w14:paraId="584B6FBF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sausio mėn. logopedinė pagalba teikta 84 priešmokyklinių grupių vaikams ir I–IV klasių mokiniams.</w:t>
      </w:r>
    </w:p>
    <w:p w14:paraId="610AE433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Logopedė Dalia Antanavičienė pagalbą teikė 64 priešmokyklinių grupių vaikams bei I–II klasių mokiniams.</w:t>
      </w:r>
    </w:p>
    <w:p w14:paraId="79E1755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Logopedė Rasa Cibulskienė logopedinę pagalbą teikė 20 III–IV klasių mokinių.</w:t>
      </w:r>
    </w:p>
    <w:p w14:paraId="5960156D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Nuo 2025 m. rugsėjo mėn. logopedinė pagalba teikiama 71 priešmokyklinių grupių vaikui ir I–IV klasių mokiniui.</w:t>
      </w:r>
    </w:p>
    <w:p w14:paraId="5622C9B1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Nuo 2025-10-01 su III–IV klasių mokiniais vietoje logopedės Rasos Cibulskienės dirba logopedė Daina Borisevičienė.</w:t>
      </w:r>
    </w:p>
    <w:p w14:paraId="0FA07600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2025 m. 32 priešmokyklinių grupių vaikams bei I–IV klasių mokiniams kalbėjimo ir kalbos sutrikimas buvo pašalintas, todėl logopedinė pagalba nutraukta.</w:t>
      </w:r>
    </w:p>
    <w:p w14:paraId="19DBAAA8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Prioritetas – ankstyvoji kalbos korekcija (PUG ir 1–2 kl.).</w:t>
      </w:r>
    </w:p>
    <w:p w14:paraId="1B2E9B8B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lastRenderedPageBreak/>
        <w:t>6. Išvados</w:t>
      </w:r>
    </w:p>
    <w:p w14:paraId="6611D2EC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VGK darbe dominavo ugdymosi ir elgesio sunkumų sprendimas (11 kartų), taip pat spręsti pavieniai patyčių/smurto, nepriežiūros, teisių pažeidimų ir skundų atvejai.</w:t>
      </w:r>
    </w:p>
    <w:p w14:paraId="54D5A71D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Psichologinė pagalba 2025 m. buvo intensyvi (521 konsultacija), reikšminga dalis skirta SUP mokiniams (297 konsultacijos, pagalba teikta 29 SUP mokiniams).</w:t>
      </w:r>
    </w:p>
    <w:p w14:paraId="2378D54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 xml:space="preserve">Mokykloje nuosekliai vykdyta prevencija: programa „Esame </w:t>
      </w:r>
      <w:proofErr w:type="gramStart"/>
      <w:r w:rsidRPr="00C95627">
        <w:rPr>
          <w:rFonts w:ascii="Times New Roman" w:hAnsi="Times New Roman" w:cs="Times New Roman"/>
          <w:sz w:val="24"/>
          <w:szCs w:val="24"/>
        </w:rPr>
        <w:t>saugūs“</w:t>
      </w:r>
      <w:proofErr w:type="gramEnd"/>
      <w:r w:rsidRPr="00C95627">
        <w:rPr>
          <w:rFonts w:ascii="Times New Roman" w:hAnsi="Times New Roman" w:cs="Times New Roman"/>
          <w:sz w:val="24"/>
          <w:szCs w:val="24"/>
        </w:rPr>
        <w:t>, patyčių prevencijos užsiėmimai, klasės mikroklimato veiklos ir kitos bendruomeninės iniciatyvos.</w:t>
      </w:r>
    </w:p>
    <w:p w14:paraId="6D9B0B83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SUP mokinių ugdymo organizavimas reikalavo nuolatinės stebėsenos: 2025 m. atlikti 28 kompleksiniai vertinimai, fiksuoti SUP mokinių skaičiaus pokyčiai metų eigoje.</w:t>
      </w:r>
    </w:p>
    <w:p w14:paraId="7015910E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Socialinio pedagogo veikla apėmė tiesioginę pagalbą mokiniams ir šeimoms, sisteminį administracinį darbą bei tarpinstitucinį bendradarbiavimą (į VTAS parengta 13 pranešimų, 1 mokiniui pritaikytos minimalios priežiūros priemonės).</w:t>
      </w:r>
    </w:p>
    <w:p w14:paraId="066AB8A8" w14:textId="77777777" w:rsidR="00140E6D" w:rsidRPr="00C95627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7. Rekomendacijos 2026 metams</w:t>
      </w:r>
    </w:p>
    <w:p w14:paraId="473AAE2B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Išlaikyti ir stiprinti tęstinę individualią psichologinę pagalbą, ypač SUP mokiniams, aiškiai nustatant prioritetus ir konsultacijų planavimo tvarką.</w:t>
      </w:r>
    </w:p>
    <w:p w14:paraId="313876BF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Tęsti patyčių ir smurto prevenciją, daugiau dėmesio skiriant klasės mikroklimato stebėsenai ir ankstyvam reagavimui.</w:t>
      </w:r>
    </w:p>
    <w:p w14:paraId="5E305008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Sutarti vieningą nelankymo, nepriežiūros ir krizinių situacijų valdymo algoritmą (mokytojas – klasės vadovas – specialistai – VGK – institucijos), kad sprendimai būtų nuoseklūs ir savalaikiai.</w:t>
      </w:r>
    </w:p>
    <w:p w14:paraId="7E7B2A27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Toliau plėtoti ankstyvąją pagalbą PUG ir 1–2 kl. (kalbos korekcija, socialinių-emocinių įgūdžių stiprinimas, adaptacijos palaikymas).</w:t>
      </w:r>
    </w:p>
    <w:p w14:paraId="560D25E9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Stiprinti tėvų įtraukimą: aiškūs susitarimai, konsultacijų pasiūla, informavimas apie pagalbos galimybes ir atsakomybių ribas.</w:t>
      </w:r>
    </w:p>
    <w:p w14:paraId="51742C57" w14:textId="77777777" w:rsidR="00140E6D" w:rsidRPr="00C95627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C95627">
        <w:rPr>
          <w:rFonts w:ascii="Times New Roman" w:hAnsi="Times New Roman" w:cs="Times New Roman"/>
          <w:sz w:val="24"/>
          <w:szCs w:val="24"/>
        </w:rPr>
        <w:t>Metų eigoje kaupti vieningą veiklų ir rodiklių suvestinę (konsultacijos, atvejai, prevencinės veiklos, posėdžių sprendimai), kad metų pabaigoje ataskaita būtų rengiama greitai ir tiksliai.</w:t>
      </w:r>
    </w:p>
    <w:p w14:paraId="70D5F77E" w14:textId="77777777" w:rsidR="00140E6D" w:rsidRPr="00C95627" w:rsidRDefault="00140E6D">
      <w:pPr>
        <w:rPr>
          <w:rFonts w:ascii="Times New Roman" w:hAnsi="Times New Roman" w:cs="Times New Roman"/>
          <w:sz w:val="24"/>
          <w:szCs w:val="24"/>
        </w:rPr>
      </w:pPr>
    </w:p>
    <w:p w14:paraId="5B84A092" w14:textId="5CE9F12D" w:rsidR="00140E6D" w:rsidRPr="00C95627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C95627">
        <w:rPr>
          <w:rFonts w:ascii="Times New Roman" w:hAnsi="Times New Roman" w:cs="Times New Roman"/>
          <w:sz w:val="24"/>
          <w:szCs w:val="24"/>
        </w:rPr>
        <w:t>Ataskaitą</w:t>
      </w:r>
      <w:proofErr w:type="spellEnd"/>
      <w:r w:rsidRPr="00C9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27">
        <w:rPr>
          <w:rFonts w:ascii="Times New Roman" w:hAnsi="Times New Roman" w:cs="Times New Roman"/>
          <w:sz w:val="24"/>
          <w:szCs w:val="24"/>
        </w:rPr>
        <w:t>parengė</w:t>
      </w:r>
      <w:proofErr w:type="spellEnd"/>
      <w:r w:rsidRPr="00C95627">
        <w:rPr>
          <w:rFonts w:ascii="Times New Roman" w:hAnsi="Times New Roman" w:cs="Times New Roman"/>
          <w:sz w:val="24"/>
          <w:szCs w:val="24"/>
        </w:rPr>
        <w:t xml:space="preserve">: </w:t>
      </w:r>
      <w:r w:rsidR="00C95627">
        <w:rPr>
          <w:rFonts w:ascii="Times New Roman" w:hAnsi="Times New Roman" w:cs="Times New Roman"/>
          <w:sz w:val="24"/>
          <w:szCs w:val="24"/>
        </w:rPr>
        <w:t xml:space="preserve"> VGK </w:t>
      </w:r>
      <w:proofErr w:type="spellStart"/>
      <w:r w:rsidR="00C95627"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 w:rsidR="00C95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627">
        <w:rPr>
          <w:rFonts w:ascii="Times New Roman" w:hAnsi="Times New Roman" w:cs="Times New Roman"/>
          <w:sz w:val="24"/>
          <w:szCs w:val="24"/>
        </w:rPr>
        <w:t>priminink</w:t>
      </w:r>
      <w:proofErr w:type="spellEnd"/>
      <w:r w:rsidR="00C95627">
        <w:rPr>
          <w:rFonts w:ascii="Times New Roman" w:hAnsi="Times New Roman" w:cs="Times New Roman"/>
          <w:sz w:val="24"/>
          <w:szCs w:val="24"/>
          <w:lang w:val="lt-LT"/>
        </w:rPr>
        <w:t>ė Agnė Beresnevičienė</w:t>
      </w:r>
    </w:p>
    <w:p w14:paraId="0A10EE5D" w14:textId="15D6414A" w:rsidR="00140E6D" w:rsidRPr="00C95627" w:rsidRDefault="00140E6D">
      <w:pPr>
        <w:rPr>
          <w:rFonts w:ascii="Times New Roman" w:hAnsi="Times New Roman" w:cs="Times New Roman"/>
          <w:sz w:val="24"/>
          <w:szCs w:val="24"/>
        </w:rPr>
      </w:pPr>
    </w:p>
    <w:sectPr w:rsidR="00140E6D" w:rsidRPr="00C9562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999873">
    <w:abstractNumId w:val="8"/>
  </w:num>
  <w:num w:numId="2" w16cid:durableId="1583679261">
    <w:abstractNumId w:val="6"/>
  </w:num>
  <w:num w:numId="3" w16cid:durableId="1983189282">
    <w:abstractNumId w:val="5"/>
  </w:num>
  <w:num w:numId="4" w16cid:durableId="349988267">
    <w:abstractNumId w:val="4"/>
  </w:num>
  <w:num w:numId="5" w16cid:durableId="778842200">
    <w:abstractNumId w:val="7"/>
  </w:num>
  <w:num w:numId="6" w16cid:durableId="618608791">
    <w:abstractNumId w:val="3"/>
  </w:num>
  <w:num w:numId="7" w16cid:durableId="681736435">
    <w:abstractNumId w:val="2"/>
  </w:num>
  <w:num w:numId="8" w16cid:durableId="1798909859">
    <w:abstractNumId w:val="1"/>
  </w:num>
  <w:num w:numId="9" w16cid:durableId="5913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E6D"/>
    <w:rsid w:val="0015074B"/>
    <w:rsid w:val="0027420F"/>
    <w:rsid w:val="0029639D"/>
    <w:rsid w:val="00326F90"/>
    <w:rsid w:val="00337CA0"/>
    <w:rsid w:val="003C1C83"/>
    <w:rsid w:val="00AA1D8D"/>
    <w:rsid w:val="00AC620E"/>
    <w:rsid w:val="00B47730"/>
    <w:rsid w:val="00C956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24354"/>
  <w14:defaultImageDpi w14:val="300"/>
  <w15:docId w15:val="{4CD7E85B-60F2-4268-998C-C4BA6AAC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Agnė Beresnevičienė</cp:lastModifiedBy>
  <cp:revision>4</cp:revision>
  <cp:lastPrinted>2026-02-23T09:43:00Z</cp:lastPrinted>
  <dcterms:created xsi:type="dcterms:W3CDTF">2026-02-23T09:42:00Z</dcterms:created>
  <dcterms:modified xsi:type="dcterms:W3CDTF">2026-02-23T09:44:00Z</dcterms:modified>
  <cp:category/>
</cp:coreProperties>
</file>